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384"/>
        <w:gridCol w:w="366"/>
        <w:gridCol w:w="727"/>
        <w:gridCol w:w="3301"/>
        <w:gridCol w:w="818"/>
        <w:gridCol w:w="2584"/>
      </w:tblGrid>
      <w:tr w:rsidR="006824DA" w:rsidRPr="00332FC6" w14:paraId="79E3C2F5" w14:textId="77777777" w:rsidTr="00127D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dxa"/>
            <w:gridSpan w:val="3"/>
            <w:shd w:val="clear" w:color="auto" w:fill="FABF8F" w:themeFill="accent6" w:themeFillTint="99"/>
          </w:tcPr>
          <w:p w14:paraId="64771175"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19" w:type="dxa"/>
            <w:gridSpan w:val="2"/>
            <w:shd w:val="clear" w:color="auto" w:fill="FABF8F" w:themeFill="accent6" w:themeFillTint="99"/>
          </w:tcPr>
          <w:p w14:paraId="46E59D0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584" w:type="dxa"/>
            <w:shd w:val="clear" w:color="auto" w:fill="FABF8F" w:themeFill="accent6" w:themeFillTint="99"/>
          </w:tcPr>
          <w:p w14:paraId="71C6FCF9"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1F894E26" w14:textId="77777777" w:rsidTr="00127D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gridSpan w:val="2"/>
          </w:tcPr>
          <w:p w14:paraId="31BB1D6D"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430" w:type="dxa"/>
            <w:gridSpan w:val="4"/>
          </w:tcPr>
          <w:p w14:paraId="2E9ACDCF" w14:textId="77777777" w:rsidR="006824DA" w:rsidRDefault="00127D3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Martín Ramos e Ignacio de Miguel Jiménez</w:t>
            </w:r>
          </w:p>
          <w:p w14:paraId="1C12FD3A" w14:textId="7E4DA817" w:rsidR="008514DE" w:rsidRPr="008514DE" w:rsidRDefault="008514D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sz w:val="16"/>
                <w:szCs w:val="16"/>
              </w:rPr>
            </w:pPr>
          </w:p>
        </w:tc>
      </w:tr>
      <w:tr w:rsidR="006824DA" w:rsidRPr="00332FC6" w14:paraId="6A298CD1" w14:textId="77777777" w:rsidTr="00127D38">
        <w:tc>
          <w:tcPr>
            <w:cnfStyle w:val="001000000000" w:firstRow="0" w:lastRow="0" w:firstColumn="1" w:lastColumn="0" w:oddVBand="0" w:evenVBand="0" w:oddHBand="0" w:evenHBand="0" w:firstRowFirstColumn="0" w:firstRowLastColumn="0" w:lastRowFirstColumn="0" w:lastRowLastColumn="0"/>
            <w:tcW w:w="1750" w:type="dxa"/>
            <w:gridSpan w:val="2"/>
          </w:tcPr>
          <w:p w14:paraId="7187C47E"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430" w:type="dxa"/>
            <w:gridSpan w:val="4"/>
          </w:tcPr>
          <w:p w14:paraId="5665C3AD" w14:textId="77777777" w:rsidR="006824DA" w:rsidRDefault="00127D38"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4D37A108" w14:textId="1B7C2C5B" w:rsidR="008514DE" w:rsidRPr="008514DE" w:rsidRDefault="008514D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16"/>
                <w:szCs w:val="16"/>
              </w:rPr>
            </w:pPr>
          </w:p>
        </w:tc>
      </w:tr>
      <w:tr w:rsidR="006824DA" w:rsidRPr="00332FC6" w14:paraId="544C2D73" w14:textId="77777777" w:rsidTr="00127D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gridSpan w:val="2"/>
          </w:tcPr>
          <w:p w14:paraId="570C1C3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430" w:type="dxa"/>
            <w:gridSpan w:val="4"/>
          </w:tcPr>
          <w:p w14:paraId="41C03E35" w14:textId="77777777" w:rsidR="006824DA" w:rsidRDefault="00127D3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Aprendizaje Automático en Arqueología: </w:t>
            </w:r>
            <w:r w:rsidRPr="00A25127">
              <w:rPr>
                <w:rFonts w:asciiTheme="majorHAnsi" w:hAnsiTheme="majorHAnsi"/>
                <w:b/>
                <w:color w:val="403152" w:themeColor="accent4" w:themeShade="80"/>
              </w:rPr>
              <w:t>Análisis de Procedencia de Muestras de Plomo mediante Análisis Isotópico</w:t>
            </w:r>
          </w:p>
          <w:p w14:paraId="0A6809C9" w14:textId="73AE63F3" w:rsidR="008514DE" w:rsidRPr="008514DE" w:rsidRDefault="008514D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sz w:val="16"/>
                <w:szCs w:val="16"/>
              </w:rPr>
            </w:pPr>
          </w:p>
        </w:tc>
      </w:tr>
      <w:tr w:rsidR="00127D38" w:rsidRPr="00332FC6" w14:paraId="16E08720" w14:textId="77777777" w:rsidTr="00127D38">
        <w:tc>
          <w:tcPr>
            <w:cnfStyle w:val="001000000000" w:firstRow="0" w:lastRow="0" w:firstColumn="1" w:lastColumn="0" w:oddVBand="0" w:evenVBand="0" w:oddHBand="0" w:evenHBand="0" w:firstRowFirstColumn="0" w:firstRowLastColumn="0" w:lastRowFirstColumn="0" w:lastRowLastColumn="0"/>
            <w:tcW w:w="1750" w:type="dxa"/>
            <w:gridSpan w:val="2"/>
          </w:tcPr>
          <w:p w14:paraId="09786EEB" w14:textId="77777777" w:rsidR="00127D38" w:rsidRPr="00332FC6" w:rsidRDefault="00127D38" w:rsidP="00127D38">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430" w:type="dxa"/>
            <w:gridSpan w:val="4"/>
          </w:tcPr>
          <w:p w14:paraId="2B295790" w14:textId="55460B69" w:rsidR="00127D38" w:rsidRPr="00A25127" w:rsidRDefault="00127D38" w:rsidP="000319CF">
            <w:pPr>
              <w:tabs>
                <w:tab w:val="left" w:pos="1080"/>
              </w:tabs>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A25127">
              <w:rPr>
                <w:rFonts w:asciiTheme="majorHAnsi" w:hAnsiTheme="majorHAnsi"/>
              </w:rPr>
              <w:t xml:space="preserve">La Península Ibérica fue uno de los principales centros de </w:t>
            </w:r>
            <w:r>
              <w:rPr>
                <w:rFonts w:asciiTheme="majorHAnsi" w:hAnsiTheme="majorHAnsi"/>
              </w:rPr>
              <w:t xml:space="preserve">extracción, </w:t>
            </w:r>
            <w:r w:rsidRPr="00A25127">
              <w:rPr>
                <w:rFonts w:asciiTheme="majorHAnsi" w:hAnsiTheme="majorHAnsi"/>
              </w:rPr>
              <w:t xml:space="preserve">fundición y producción de plomo en el mundo antiguo. La conquista de Hispania permitió a Roma controlar y explotar los ricos yacimientos de plomo de la península. </w:t>
            </w:r>
            <w:r w:rsidR="009C7C88">
              <w:rPr>
                <w:rFonts w:asciiTheme="majorHAnsi" w:hAnsiTheme="majorHAnsi"/>
              </w:rPr>
              <w:t>A</w:t>
            </w:r>
            <w:r w:rsidRPr="00A25127">
              <w:rPr>
                <w:rFonts w:asciiTheme="majorHAnsi" w:hAnsiTheme="majorHAnsi"/>
              </w:rPr>
              <w:t>nálisis isotópicos modernos han confirmado la presencia de plomo de origen hispano en numerosos artefactos</w:t>
            </w:r>
            <w:r w:rsidR="009C7C88">
              <w:rPr>
                <w:rFonts w:asciiTheme="majorHAnsi" w:hAnsiTheme="majorHAnsi"/>
              </w:rPr>
              <w:t xml:space="preserve"> de la época romana (utensilios, armamento</w:t>
            </w:r>
            <w:r w:rsidR="008514DE">
              <w:rPr>
                <w:rFonts w:asciiTheme="majorHAnsi" w:hAnsiTheme="majorHAnsi"/>
              </w:rPr>
              <w:t>…</w:t>
            </w:r>
            <w:r w:rsidR="009C7C88">
              <w:rPr>
                <w:rFonts w:asciiTheme="majorHAnsi" w:hAnsiTheme="majorHAnsi"/>
              </w:rPr>
              <w:t>) encontrados en distintos puntos de Europa y del Mediterráneo</w:t>
            </w:r>
            <w:r w:rsidRPr="00A25127">
              <w:rPr>
                <w:rFonts w:asciiTheme="majorHAnsi" w:hAnsiTheme="majorHAnsi"/>
              </w:rPr>
              <w:t>, subrayando el alcance y la escala de esta producción minera.</w:t>
            </w:r>
          </w:p>
          <w:p w14:paraId="24D571CC" w14:textId="1FBFFF2E" w:rsidR="00127D38" w:rsidRPr="00A25127" w:rsidRDefault="00127D38" w:rsidP="000319CF">
            <w:pPr>
              <w:tabs>
                <w:tab w:val="num" w:pos="720"/>
                <w:tab w:val="left" w:pos="1080"/>
              </w:tabs>
              <w:spacing w:after="120"/>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E5441B">
              <w:rPr>
                <w:rFonts w:asciiTheme="majorHAnsi" w:hAnsiTheme="majorHAnsi"/>
              </w:rPr>
              <w:t>El análisis isotópico del plomo es una técnica analítica basada en la medición precisa de las proporciones de los diferentes isótopos de plomo presentes en una muestra. Dado que estos factores varían según la ubicación geológica, cada depósito mineral tiende a tener una "firma" isotópica característica.</w:t>
            </w:r>
            <w:r w:rsidR="000319CF">
              <w:rPr>
                <w:rFonts w:asciiTheme="majorHAnsi" w:hAnsiTheme="majorHAnsi"/>
              </w:rPr>
              <w:t xml:space="preserve"> </w:t>
            </w:r>
            <w:r w:rsidRPr="00A25127">
              <w:rPr>
                <w:rFonts w:asciiTheme="majorHAnsi" w:hAnsiTheme="majorHAnsi"/>
              </w:rPr>
              <w:t>El análisis isotópico del plomo se ha convertido en una herramienta crucial en los estudios de procedencia arqueológica</w:t>
            </w:r>
            <w:r w:rsidR="009C7C88">
              <w:rPr>
                <w:rFonts w:asciiTheme="majorHAnsi" w:hAnsiTheme="majorHAnsi"/>
              </w:rPr>
              <w:t>, esto es, determinar de qué lugar proceden</w:t>
            </w:r>
            <w:r w:rsidR="00C16A3B">
              <w:rPr>
                <w:rFonts w:asciiTheme="majorHAnsi" w:hAnsiTheme="majorHAnsi"/>
              </w:rPr>
              <w:t xml:space="preserve"> las materias primas </w:t>
            </w:r>
            <w:r w:rsidR="008514DE">
              <w:rPr>
                <w:rFonts w:asciiTheme="majorHAnsi" w:hAnsiTheme="majorHAnsi"/>
              </w:rPr>
              <w:t>de una</w:t>
            </w:r>
            <w:r w:rsidR="00C16A3B">
              <w:rPr>
                <w:rFonts w:asciiTheme="majorHAnsi" w:hAnsiTheme="majorHAnsi"/>
              </w:rPr>
              <w:t xml:space="preserve"> cierta pieza arqueológica.</w:t>
            </w:r>
          </w:p>
          <w:p w14:paraId="7BC3855F" w14:textId="733254AB" w:rsidR="00127D38" w:rsidRPr="00C16A3B" w:rsidRDefault="00127D38" w:rsidP="00C16A3B">
            <w:pPr>
              <w:tabs>
                <w:tab w:val="left" w:pos="1080"/>
              </w:tabs>
              <w:spacing w:after="180"/>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A25127">
              <w:rPr>
                <w:rFonts w:asciiTheme="majorHAnsi" w:hAnsiTheme="majorHAnsi"/>
              </w:rPr>
              <w:t>El objetivo de este T</w:t>
            </w:r>
            <w:r w:rsidR="000319CF">
              <w:rPr>
                <w:rFonts w:asciiTheme="majorHAnsi" w:hAnsiTheme="majorHAnsi"/>
              </w:rPr>
              <w:t>FG</w:t>
            </w:r>
            <w:r w:rsidRPr="00A25127">
              <w:rPr>
                <w:rFonts w:asciiTheme="majorHAnsi" w:hAnsiTheme="majorHAnsi"/>
              </w:rPr>
              <w:t xml:space="preserve"> es </w:t>
            </w:r>
            <w:r w:rsidR="00C16A3B">
              <w:rPr>
                <w:rFonts w:asciiTheme="majorHAnsi" w:hAnsiTheme="majorHAnsi"/>
              </w:rPr>
              <w:t>aplicar</w:t>
            </w:r>
            <w:r w:rsidRPr="00A25127">
              <w:rPr>
                <w:rFonts w:asciiTheme="majorHAnsi" w:hAnsiTheme="majorHAnsi"/>
              </w:rPr>
              <w:t xml:space="preserve"> métodos de aprendizaje automático </w:t>
            </w:r>
            <w:r w:rsidR="00C16A3B">
              <w:rPr>
                <w:rFonts w:asciiTheme="majorHAnsi" w:hAnsiTheme="majorHAnsi"/>
              </w:rPr>
              <w:t>a</w:t>
            </w:r>
            <w:r w:rsidR="009C7C88">
              <w:rPr>
                <w:rFonts w:asciiTheme="majorHAnsi" w:hAnsiTheme="majorHAnsi"/>
              </w:rPr>
              <w:t>l</w:t>
            </w:r>
            <w:r w:rsidRPr="00A25127">
              <w:rPr>
                <w:rFonts w:asciiTheme="majorHAnsi" w:hAnsiTheme="majorHAnsi"/>
              </w:rPr>
              <w:t xml:space="preserve"> análisis de procedencia de muestras de plomo basado en su análisis isotópico. El proyecto aprovechará las bases de datos existentes de análisis isotópicos, específicamente </w:t>
            </w:r>
            <w:hyperlink r:id="rId8" w:history="1">
              <w:r w:rsidRPr="00B005F8">
                <w:rPr>
                  <w:rStyle w:val="Hipervnculo"/>
                  <w:rFonts w:asciiTheme="majorHAnsi" w:hAnsiTheme="majorHAnsi"/>
                </w:rPr>
                <w:t>IBERLID</w:t>
              </w:r>
            </w:hyperlink>
            <w:r w:rsidRPr="00A25127">
              <w:rPr>
                <w:rFonts w:asciiTheme="majorHAnsi" w:hAnsiTheme="majorHAnsi"/>
              </w:rPr>
              <w:t xml:space="preserve"> para España y </w:t>
            </w:r>
            <w:hyperlink r:id="rId9" w:history="1">
              <w:r w:rsidRPr="00B005F8">
                <w:rPr>
                  <w:rStyle w:val="Hipervnculo"/>
                  <w:rFonts w:asciiTheme="majorHAnsi" w:hAnsiTheme="majorHAnsi"/>
                </w:rPr>
                <w:t>GLOBALID</w:t>
              </w:r>
            </w:hyperlink>
            <w:r w:rsidRPr="00A25127">
              <w:rPr>
                <w:rFonts w:asciiTheme="majorHAnsi" w:hAnsiTheme="majorHAnsi"/>
              </w:rPr>
              <w:t xml:space="preserve"> para el resto del Mediterráneo, como conjuntos de datos de entrenamiento para modelos de aprendizaje automático.</w:t>
            </w:r>
            <w:r w:rsidR="009C7C88">
              <w:rPr>
                <w:rFonts w:asciiTheme="majorHAnsi" w:hAnsiTheme="majorHAnsi"/>
              </w:rPr>
              <w:t xml:space="preserve"> Se desarrollarán</w:t>
            </w:r>
            <w:r w:rsidR="00C16A3B">
              <w:rPr>
                <w:rFonts w:asciiTheme="majorHAnsi" w:hAnsiTheme="majorHAnsi"/>
              </w:rPr>
              <w:t xml:space="preserve"> y evaluarán</w:t>
            </w:r>
            <w:r w:rsidR="009C7C88">
              <w:rPr>
                <w:rFonts w:asciiTheme="majorHAnsi" w:hAnsiTheme="majorHAnsi"/>
              </w:rPr>
              <w:t>, por t</w:t>
            </w:r>
            <w:r w:rsidR="00C16A3B">
              <w:rPr>
                <w:rFonts w:asciiTheme="majorHAnsi" w:hAnsiTheme="majorHAnsi"/>
              </w:rPr>
              <w:t xml:space="preserve">anto, diversos modelos de aprendizaje automático, aplicándolo posteriormente a un conjunto de más de 200 artefactos de plomo con análisis isotópicos inéditos, realizando un análisis </w:t>
            </w:r>
            <w:r w:rsidR="00C16A3B" w:rsidRPr="00A25127">
              <w:rPr>
                <w:rFonts w:asciiTheme="majorHAnsi" w:hAnsiTheme="majorHAnsi"/>
              </w:rPr>
              <w:t xml:space="preserve">crítico de los resultados y </w:t>
            </w:r>
            <w:r w:rsidR="008514DE">
              <w:rPr>
                <w:rFonts w:asciiTheme="majorHAnsi" w:hAnsiTheme="majorHAnsi"/>
              </w:rPr>
              <w:t xml:space="preserve">una </w:t>
            </w:r>
            <w:r w:rsidR="00C16A3B" w:rsidRPr="00A25127">
              <w:rPr>
                <w:rFonts w:asciiTheme="majorHAnsi" w:hAnsiTheme="majorHAnsi"/>
              </w:rPr>
              <w:t xml:space="preserve">discusión de las implicaciones para la investigación </w:t>
            </w:r>
            <w:proofErr w:type="spellStart"/>
            <w:r w:rsidR="00C16A3B" w:rsidRPr="00A25127">
              <w:rPr>
                <w:rFonts w:asciiTheme="majorHAnsi" w:hAnsiTheme="majorHAnsi"/>
              </w:rPr>
              <w:t>arqueométrica</w:t>
            </w:r>
            <w:proofErr w:type="spellEnd"/>
            <w:r w:rsidR="00C16A3B" w:rsidRPr="00A25127">
              <w:rPr>
                <w:rFonts w:asciiTheme="majorHAnsi" w:hAnsiTheme="majorHAnsi"/>
              </w:rPr>
              <w:t>.</w:t>
            </w:r>
          </w:p>
        </w:tc>
      </w:tr>
      <w:tr w:rsidR="00127D38" w:rsidRPr="00332FC6" w14:paraId="6194E58A" w14:textId="77777777" w:rsidTr="00127D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gridSpan w:val="2"/>
          </w:tcPr>
          <w:p w14:paraId="3EAC829C" w14:textId="77777777" w:rsidR="00127D38" w:rsidRPr="00332FC6" w:rsidRDefault="00127D38" w:rsidP="00127D38">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430" w:type="dxa"/>
            <w:gridSpan w:val="4"/>
          </w:tcPr>
          <w:p w14:paraId="7B1B660C" w14:textId="191A2B4A" w:rsidR="00127D38" w:rsidRDefault="00C16A3B" w:rsidP="00127D38">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 xml:space="preserve">x </w:t>
            </w:r>
            <w:r w:rsidR="00127D38" w:rsidRPr="0012070B">
              <w:rPr>
                <w:rFonts w:cs="Wingdings"/>
                <w:color w:val="403152" w:themeColor="accent4" w:themeShade="80"/>
              </w:rPr>
              <w:t>Grado en Ingeniería en Tecnologías Específicas de Telecomunicación</w:t>
            </w:r>
          </w:p>
          <w:p w14:paraId="6526D038" w14:textId="170E5FB5" w:rsidR="00127D38" w:rsidRPr="00C16A3B" w:rsidRDefault="00C16A3B" w:rsidP="00C16A3B">
            <w:pPr>
              <w:autoSpaceDE w:val="0"/>
              <w:autoSpaceDN w:val="0"/>
              <w:adjustRightInd w:val="0"/>
              <w:ind w:left="36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x</w:t>
            </w:r>
            <w:r>
              <w:rPr>
                <w:rFonts w:cs="MS Shell Dlg"/>
                <w:color w:val="403152" w:themeColor="accent4" w:themeShade="80"/>
              </w:rPr>
              <w:t xml:space="preserve"> </w:t>
            </w:r>
            <w:r w:rsidR="00127D38" w:rsidRPr="00C16A3B">
              <w:rPr>
                <w:rFonts w:cs="MS Shell Dlg"/>
                <w:color w:val="403152" w:themeColor="accent4" w:themeShade="80"/>
              </w:rPr>
              <w:t>Mención en Sistemas de Telecomunicación</w:t>
            </w:r>
          </w:p>
          <w:p w14:paraId="1D0EE9E9" w14:textId="7D1F1B00" w:rsidR="00127D38" w:rsidRPr="00C16A3B" w:rsidRDefault="00C16A3B" w:rsidP="00C16A3B">
            <w:pPr>
              <w:autoSpaceDE w:val="0"/>
              <w:autoSpaceDN w:val="0"/>
              <w:adjustRightInd w:val="0"/>
              <w:ind w:left="36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x</w:t>
            </w:r>
            <w:r>
              <w:rPr>
                <w:rFonts w:cs="MS Shell Dlg"/>
                <w:color w:val="403152" w:themeColor="accent4" w:themeShade="80"/>
              </w:rPr>
              <w:t xml:space="preserve"> </w:t>
            </w:r>
            <w:r w:rsidR="00127D38" w:rsidRPr="00C16A3B">
              <w:rPr>
                <w:rFonts w:cs="MS Shell Dlg"/>
                <w:color w:val="403152" w:themeColor="accent4" w:themeShade="80"/>
              </w:rPr>
              <w:t>Mención en Sistemas Electrónicos</w:t>
            </w:r>
          </w:p>
          <w:p w14:paraId="603042E5" w14:textId="3836D80C" w:rsidR="00127D38" w:rsidRPr="00C16A3B" w:rsidRDefault="00C16A3B" w:rsidP="00C16A3B">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 xml:space="preserve">       </w:t>
            </w:r>
            <w:r>
              <w:rPr>
                <w:rFonts w:ascii="Wingdings" w:hAnsi="Wingdings" w:cs="Wingdings"/>
                <w:color w:val="403152" w:themeColor="accent4" w:themeShade="80"/>
              </w:rPr>
              <w:t>x</w:t>
            </w:r>
            <w:r>
              <w:rPr>
                <w:rFonts w:cs="MS Shell Dlg"/>
                <w:color w:val="403152" w:themeColor="accent4" w:themeShade="80"/>
              </w:rPr>
              <w:t xml:space="preserve"> </w:t>
            </w:r>
            <w:r w:rsidR="00127D38" w:rsidRPr="00C16A3B">
              <w:rPr>
                <w:rFonts w:cs="MS Shell Dlg"/>
                <w:color w:val="403152" w:themeColor="accent4" w:themeShade="80"/>
              </w:rPr>
              <w:t>Mención en Telemática</w:t>
            </w:r>
          </w:p>
          <w:p w14:paraId="36832E53" w14:textId="7CBF9CDB" w:rsidR="00127D38" w:rsidRPr="00332FC6" w:rsidRDefault="00C16A3B" w:rsidP="00127D38">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x</w:t>
            </w:r>
            <w:r w:rsidR="00127D38" w:rsidRPr="0012070B">
              <w:rPr>
                <w:rFonts w:ascii="Wingdings" w:hAnsi="Wingdings" w:cs="Wingdings"/>
                <w:color w:val="403152" w:themeColor="accent4" w:themeShade="80"/>
              </w:rPr>
              <w:t></w:t>
            </w:r>
            <w:r w:rsidR="00127D38" w:rsidRPr="0012070B">
              <w:rPr>
                <w:rFonts w:cs="Wingdings"/>
                <w:color w:val="403152" w:themeColor="accent4" w:themeShade="80"/>
              </w:rPr>
              <w:t>Grado en Ingeniería en Tecnologías de Telecomunicación</w:t>
            </w:r>
          </w:p>
        </w:tc>
      </w:tr>
      <w:tr w:rsidR="00127D38" w:rsidRPr="00332FC6" w14:paraId="68EF85CF" w14:textId="77777777" w:rsidTr="00127D38">
        <w:tc>
          <w:tcPr>
            <w:cnfStyle w:val="001000000000" w:firstRow="0" w:lastRow="0" w:firstColumn="1" w:lastColumn="0" w:oddVBand="0" w:evenVBand="0" w:oddHBand="0" w:evenHBand="0" w:firstRowFirstColumn="0" w:firstRowLastColumn="0" w:lastRowFirstColumn="0" w:lastRowLastColumn="0"/>
            <w:tcW w:w="1750" w:type="dxa"/>
            <w:gridSpan w:val="2"/>
          </w:tcPr>
          <w:p w14:paraId="2836D299" w14:textId="33EE4999" w:rsidR="00127D38" w:rsidRPr="00332FC6" w:rsidRDefault="00C16A3B" w:rsidP="00127D38">
            <w:pPr>
              <w:ind w:right="-108"/>
              <w:jc w:val="right"/>
              <w:rPr>
                <w:rFonts w:asciiTheme="majorHAnsi" w:hAnsiTheme="majorHAnsi"/>
                <w:color w:val="403152" w:themeColor="accent4" w:themeShade="80"/>
              </w:rPr>
            </w:pPr>
            <w:r>
              <w:rPr>
                <w:rFonts w:asciiTheme="majorHAnsi" w:hAnsiTheme="majorHAnsi"/>
                <w:color w:val="403152" w:themeColor="accent4" w:themeShade="80"/>
              </w:rPr>
              <w:t xml:space="preserve">  </w:t>
            </w:r>
          </w:p>
        </w:tc>
        <w:tc>
          <w:tcPr>
            <w:tcW w:w="7430" w:type="dxa"/>
            <w:gridSpan w:val="4"/>
          </w:tcPr>
          <w:p w14:paraId="003413FD" w14:textId="777DFAEF" w:rsidR="00127D38" w:rsidRPr="00025C73" w:rsidRDefault="00C16A3B" w:rsidP="00127D3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x</w:t>
            </w:r>
            <w:r w:rsidRPr="0012070B">
              <w:rPr>
                <w:rFonts w:ascii="Wingdings" w:hAnsi="Wingdings" w:cs="Wingdings"/>
                <w:color w:val="403152" w:themeColor="accent4" w:themeShade="80"/>
              </w:rPr>
              <w:t xml:space="preserve"> </w:t>
            </w:r>
            <w:r w:rsidR="00127D38">
              <w:rPr>
                <w:rFonts w:cs="Wingdings"/>
                <w:color w:val="403152" w:themeColor="accent4" w:themeShade="80"/>
              </w:rPr>
              <w:t>Asociado a Pr</w:t>
            </w:r>
            <w:r w:rsidR="00127D38">
              <w:rPr>
                <w:rFonts w:cs="MS Shell Dlg"/>
                <w:color w:val="403152" w:themeColor="accent4" w:themeShade="80"/>
              </w:rPr>
              <w:t>á</w:t>
            </w:r>
            <w:r w:rsidR="00127D38">
              <w:rPr>
                <w:rFonts w:cs="Wingdings"/>
                <w:color w:val="403152" w:themeColor="accent4" w:themeShade="80"/>
              </w:rPr>
              <w:t>cticas en Empresa</w:t>
            </w:r>
            <w:r>
              <w:rPr>
                <w:rFonts w:cs="Wingdings"/>
                <w:color w:val="403152" w:themeColor="accent4" w:themeShade="80"/>
              </w:rPr>
              <w:t xml:space="preserve"> (puede estarlo o no según prefiera el alumno)</w:t>
            </w:r>
          </w:p>
        </w:tc>
      </w:tr>
      <w:tr w:rsidR="009F52DF" w:rsidRPr="00332FC6" w14:paraId="62C29F9D"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4"/>
            <w:shd w:val="clear" w:color="auto" w:fill="F79646" w:themeFill="accent6"/>
          </w:tcPr>
          <w:p w14:paraId="72B77FE9"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gridSpan w:val="2"/>
            <w:shd w:val="clear" w:color="auto" w:fill="F79646" w:themeFill="accent6"/>
          </w:tcPr>
          <w:p w14:paraId="04B3048F" w14:textId="77777777" w:rsidR="009F52DF" w:rsidRPr="00332FC6" w:rsidRDefault="009F52D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2CE191DF"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F7236AE"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5"/>
          </w:tcPr>
          <w:p w14:paraId="3BA89996" w14:textId="64470452" w:rsidR="009F52DF" w:rsidRPr="00332FC6" w:rsidRDefault="00C16A3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 Durán Barroso</w:t>
            </w:r>
          </w:p>
          <w:p w14:paraId="4E18EA4E" w14:textId="77777777" w:rsidR="002C07E3" w:rsidRPr="008514DE"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16"/>
                <w:szCs w:val="16"/>
              </w:rPr>
            </w:pPr>
          </w:p>
        </w:tc>
      </w:tr>
      <w:tr w:rsidR="009F52DF" w:rsidRPr="00332FC6" w14:paraId="4FBDCA7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4A5E23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5"/>
          </w:tcPr>
          <w:p w14:paraId="4AE344E5" w14:textId="0A0ECFED" w:rsidR="009F52DF" w:rsidRPr="00332FC6" w:rsidRDefault="00C16A3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0BD6EFE5" w14:textId="77777777" w:rsidR="002C07E3" w:rsidRPr="008514DE"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sz w:val="16"/>
                <w:szCs w:val="16"/>
              </w:rPr>
            </w:pPr>
          </w:p>
        </w:tc>
      </w:tr>
      <w:tr w:rsidR="009F52DF" w:rsidRPr="00332FC6" w14:paraId="60631D5C"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3F0DA38E"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5"/>
          </w:tcPr>
          <w:p w14:paraId="09485462" w14:textId="76496D69" w:rsidR="009F52DF" w:rsidRPr="00332FC6" w:rsidRDefault="00C16A3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p w14:paraId="36D9E641" w14:textId="77777777" w:rsidR="002C07E3" w:rsidRPr="008514DE"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16"/>
                <w:szCs w:val="16"/>
              </w:rPr>
            </w:pPr>
          </w:p>
        </w:tc>
      </w:tr>
      <w:tr w:rsidR="00113BDA" w:rsidRPr="00332FC6" w14:paraId="31FCB28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556A32C7"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5"/>
          </w:tcPr>
          <w:p w14:paraId="662AECC2" w14:textId="79931F12" w:rsidR="00113BDA" w:rsidRPr="00332FC6" w:rsidRDefault="00C16A3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Noemí </w:t>
            </w:r>
            <w:proofErr w:type="spellStart"/>
            <w:r>
              <w:rPr>
                <w:rFonts w:asciiTheme="majorHAnsi" w:hAnsiTheme="majorHAnsi"/>
                <w:b/>
                <w:color w:val="403152" w:themeColor="accent4" w:themeShade="80"/>
              </w:rPr>
              <w:t>Merayo</w:t>
            </w:r>
            <w:proofErr w:type="spellEnd"/>
            <w:r>
              <w:rPr>
                <w:rFonts w:asciiTheme="majorHAnsi" w:hAnsiTheme="majorHAnsi"/>
                <w:b/>
                <w:color w:val="403152" w:themeColor="accent4" w:themeShade="80"/>
              </w:rPr>
              <w:t xml:space="preserve"> Álvarez</w:t>
            </w:r>
          </w:p>
          <w:p w14:paraId="17C9C0F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22403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465A978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5"/>
          </w:tcPr>
          <w:p w14:paraId="1C72DFE5" w14:textId="61005BFE" w:rsidR="00113BDA" w:rsidRPr="00332FC6" w:rsidRDefault="00F04C36"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Alfonso </w:t>
            </w:r>
            <w:proofErr w:type="spellStart"/>
            <w:r>
              <w:rPr>
                <w:rFonts w:asciiTheme="majorHAnsi" w:hAnsiTheme="majorHAnsi"/>
                <w:b/>
                <w:color w:val="403152" w:themeColor="accent4" w:themeShade="80"/>
              </w:rPr>
              <w:t>Bahillo</w:t>
            </w:r>
            <w:proofErr w:type="spellEnd"/>
            <w:r>
              <w:rPr>
                <w:rFonts w:asciiTheme="majorHAnsi" w:hAnsiTheme="majorHAnsi"/>
                <w:b/>
                <w:color w:val="403152" w:themeColor="accent4" w:themeShade="80"/>
              </w:rPr>
              <w:t xml:space="preserve"> Martínez</w:t>
            </w:r>
          </w:p>
          <w:p w14:paraId="7E041839" w14:textId="77777777" w:rsidR="002C07E3" w:rsidRPr="008514DE"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sz w:val="16"/>
                <w:szCs w:val="16"/>
              </w:rPr>
            </w:pPr>
          </w:p>
        </w:tc>
      </w:tr>
    </w:tbl>
    <w:p w14:paraId="211416B3" w14:textId="1FE3269A"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1AB7949E" w14:textId="77777777" w:rsidR="003D3D4D" w:rsidRDefault="003D3D4D" w:rsidP="0072523D">
      <w:pPr>
        <w:spacing w:after="0" w:line="240" w:lineRule="auto"/>
        <w:jc w:val="both"/>
        <w:rPr>
          <w:rFonts w:asciiTheme="majorHAnsi" w:hAnsiTheme="majorHAnsi"/>
          <w:sz w:val="18"/>
          <w:szCs w:val="18"/>
        </w:rPr>
      </w:pPr>
    </w:p>
    <w:p w14:paraId="0FCD35BC"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10"/>
      <w:footerReference w:type="default" r:id="rId11"/>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7C123" w14:textId="77777777" w:rsidR="00F2334E" w:rsidRDefault="00F2334E" w:rsidP="00C76F65">
      <w:pPr>
        <w:spacing w:after="0" w:line="240" w:lineRule="auto"/>
      </w:pPr>
      <w:r>
        <w:separator/>
      </w:r>
    </w:p>
  </w:endnote>
  <w:endnote w:type="continuationSeparator" w:id="0">
    <w:p w14:paraId="305DA3C6" w14:textId="77777777" w:rsidR="00F2334E" w:rsidRDefault="00F2334E"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37159"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63C04363"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61E627EC"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55966558"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2F227" w14:textId="77777777" w:rsidR="00F2334E" w:rsidRDefault="00F2334E" w:rsidP="00C76F65">
      <w:pPr>
        <w:spacing w:after="0" w:line="240" w:lineRule="auto"/>
      </w:pPr>
      <w:r>
        <w:separator/>
      </w:r>
    </w:p>
  </w:footnote>
  <w:footnote w:type="continuationSeparator" w:id="0">
    <w:p w14:paraId="7002D398" w14:textId="77777777" w:rsidR="00F2334E" w:rsidRDefault="00F2334E"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BA648" w14:textId="6C47902E" w:rsidR="003D3D4D" w:rsidRPr="006E71B6" w:rsidRDefault="00F04C36"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C87448">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1C5097FA" wp14:editId="329DD6D6">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8255" r="8255" b="0"/>
                  <wp:wrapNone/>
                  <wp:docPr id="28510492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AE30E5C"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5097FA"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5AE30E5C"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6B971C2D"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3D4572"/>
    <w:multiLevelType w:val="multilevel"/>
    <w:tmpl w:val="F8768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CAC5197"/>
    <w:multiLevelType w:val="multilevel"/>
    <w:tmpl w:val="CD48DAF4"/>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270514D"/>
    <w:multiLevelType w:val="multilevel"/>
    <w:tmpl w:val="790050B8"/>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8A5A57"/>
    <w:multiLevelType w:val="multilevel"/>
    <w:tmpl w:val="EFF2B724"/>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0"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1"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6"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56349125">
    <w:abstractNumId w:val="18"/>
  </w:num>
  <w:num w:numId="2" w16cid:durableId="453448785">
    <w:abstractNumId w:val="22"/>
  </w:num>
  <w:num w:numId="3" w16cid:durableId="877744168">
    <w:abstractNumId w:val="23"/>
  </w:num>
  <w:num w:numId="4" w16cid:durableId="307827335">
    <w:abstractNumId w:val="14"/>
  </w:num>
  <w:num w:numId="5" w16cid:durableId="627248899">
    <w:abstractNumId w:val="30"/>
  </w:num>
  <w:num w:numId="6" w16cid:durableId="426082201">
    <w:abstractNumId w:val="27"/>
  </w:num>
  <w:num w:numId="7" w16cid:durableId="1336228272">
    <w:abstractNumId w:val="9"/>
  </w:num>
  <w:num w:numId="8" w16cid:durableId="1369185130">
    <w:abstractNumId w:val="4"/>
  </w:num>
  <w:num w:numId="9" w16cid:durableId="731974971">
    <w:abstractNumId w:val="1"/>
  </w:num>
  <w:num w:numId="10" w16cid:durableId="971516511">
    <w:abstractNumId w:val="33"/>
  </w:num>
  <w:num w:numId="11" w16cid:durableId="994801731">
    <w:abstractNumId w:val="25"/>
  </w:num>
  <w:num w:numId="12" w16cid:durableId="352146515">
    <w:abstractNumId w:val="34"/>
  </w:num>
  <w:num w:numId="13" w16cid:durableId="1196625141">
    <w:abstractNumId w:val="0"/>
  </w:num>
  <w:num w:numId="14" w16cid:durableId="1388336635">
    <w:abstractNumId w:val="35"/>
  </w:num>
  <w:num w:numId="15" w16cid:durableId="655493603">
    <w:abstractNumId w:val="36"/>
  </w:num>
  <w:num w:numId="16" w16cid:durableId="2081368090">
    <w:abstractNumId w:val="11"/>
  </w:num>
  <w:num w:numId="17" w16cid:durableId="1668900607">
    <w:abstractNumId w:val="29"/>
  </w:num>
  <w:num w:numId="18" w16cid:durableId="1570841643">
    <w:abstractNumId w:val="15"/>
  </w:num>
  <w:num w:numId="19" w16cid:durableId="151987447">
    <w:abstractNumId w:val="6"/>
  </w:num>
  <w:num w:numId="20" w16cid:durableId="944532883">
    <w:abstractNumId w:val="19"/>
  </w:num>
  <w:num w:numId="21" w16cid:durableId="875703992">
    <w:abstractNumId w:val="13"/>
  </w:num>
  <w:num w:numId="22" w16cid:durableId="568073547">
    <w:abstractNumId w:val="7"/>
  </w:num>
  <w:num w:numId="23" w16cid:durableId="1333994347">
    <w:abstractNumId w:val="31"/>
  </w:num>
  <w:num w:numId="24" w16cid:durableId="1219170973">
    <w:abstractNumId w:val="8"/>
  </w:num>
  <w:num w:numId="25" w16cid:durableId="2061787144">
    <w:abstractNumId w:val="16"/>
  </w:num>
  <w:num w:numId="26" w16cid:durableId="1443650399">
    <w:abstractNumId w:val="2"/>
  </w:num>
  <w:num w:numId="27" w16cid:durableId="1648048206">
    <w:abstractNumId w:val="3"/>
  </w:num>
  <w:num w:numId="28" w16cid:durableId="194080958">
    <w:abstractNumId w:val="32"/>
  </w:num>
  <w:num w:numId="29" w16cid:durableId="1376614255">
    <w:abstractNumId w:val="21"/>
  </w:num>
  <w:num w:numId="30" w16cid:durableId="2097091322">
    <w:abstractNumId w:val="10"/>
  </w:num>
  <w:num w:numId="31" w16cid:durableId="6293433">
    <w:abstractNumId w:val="20"/>
  </w:num>
  <w:num w:numId="32" w16cid:durableId="293953858">
    <w:abstractNumId w:val="28"/>
  </w:num>
  <w:num w:numId="33" w16cid:durableId="1486357898">
    <w:abstractNumId w:val="5"/>
  </w:num>
  <w:num w:numId="34" w16cid:durableId="887885564">
    <w:abstractNumId w:val="12"/>
  </w:num>
  <w:num w:numId="35" w16cid:durableId="1606960045">
    <w:abstractNumId w:val="17"/>
  </w:num>
  <w:num w:numId="36" w16cid:durableId="1777020537">
    <w:abstractNumId w:val="24"/>
  </w:num>
  <w:num w:numId="37" w16cid:durableId="169052550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319CF"/>
    <w:rsid w:val="0006647B"/>
    <w:rsid w:val="000A3667"/>
    <w:rsid w:val="00113BDA"/>
    <w:rsid w:val="001151B1"/>
    <w:rsid w:val="0012070B"/>
    <w:rsid w:val="00127D38"/>
    <w:rsid w:val="00134502"/>
    <w:rsid w:val="0018522B"/>
    <w:rsid w:val="001B3943"/>
    <w:rsid w:val="001C32AE"/>
    <w:rsid w:val="001E1B28"/>
    <w:rsid w:val="0020383D"/>
    <w:rsid w:val="00205BF9"/>
    <w:rsid w:val="002A4946"/>
    <w:rsid w:val="002B20A1"/>
    <w:rsid w:val="002B38DC"/>
    <w:rsid w:val="002B4E23"/>
    <w:rsid w:val="002B4FCF"/>
    <w:rsid w:val="002C07E3"/>
    <w:rsid w:val="002C1E6E"/>
    <w:rsid w:val="002D0CBC"/>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E2BEA"/>
    <w:rsid w:val="0084608E"/>
    <w:rsid w:val="008514DE"/>
    <w:rsid w:val="008557BA"/>
    <w:rsid w:val="0086646E"/>
    <w:rsid w:val="00882F4C"/>
    <w:rsid w:val="0097182B"/>
    <w:rsid w:val="00986A1F"/>
    <w:rsid w:val="00986D11"/>
    <w:rsid w:val="009B6540"/>
    <w:rsid w:val="009C7C88"/>
    <w:rsid w:val="009F52DF"/>
    <w:rsid w:val="00A1598A"/>
    <w:rsid w:val="00A259DF"/>
    <w:rsid w:val="00AC7122"/>
    <w:rsid w:val="00AF6873"/>
    <w:rsid w:val="00B0713D"/>
    <w:rsid w:val="00B14605"/>
    <w:rsid w:val="00B53988"/>
    <w:rsid w:val="00B9593F"/>
    <w:rsid w:val="00BA0405"/>
    <w:rsid w:val="00C16A3B"/>
    <w:rsid w:val="00C35B8A"/>
    <w:rsid w:val="00C452B9"/>
    <w:rsid w:val="00C67B1D"/>
    <w:rsid w:val="00C76F65"/>
    <w:rsid w:val="00C87448"/>
    <w:rsid w:val="00C9505B"/>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04C36"/>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530165"/>
  <w15:docId w15:val="{4CE90448-8E28-42EC-8EAC-6C71BD92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ipervnculo">
    <w:name w:val="Hyperlink"/>
    <w:basedOn w:val="Fuentedeprrafopredeter"/>
    <w:uiPriority w:val="99"/>
    <w:unhideWhenUsed/>
    <w:rsid w:val="00127D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hu.eus/ibercron/iberl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lobalid.dmt-lb.d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419</Words>
  <Characters>2308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IGNACIO DE MIGUEL JIMENEZ</cp:lastModifiedBy>
  <cp:revision>7</cp:revision>
  <cp:lastPrinted>2010-05-24T15:16:00Z</cp:lastPrinted>
  <dcterms:created xsi:type="dcterms:W3CDTF">2024-10-09T06:52:00Z</dcterms:created>
  <dcterms:modified xsi:type="dcterms:W3CDTF">2024-10-10T06:27:00Z</dcterms:modified>
</cp:coreProperties>
</file>